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numPr>
          <w:ilvl w:val="0"/>
          <w:numId w:val="0"/>
        </w:numPr>
        <w:outlineLvl w:val="0"/>
        <w:rPr>
          <w:sz w:val="24"/>
          <w:szCs w:val="24"/>
          <w:lang w:val="sr-CS"/>
        </w:rPr>
      </w:pPr>
      <w:r>
        <w:rPr>
          <w:b/>
          <w:iCs/>
          <w:lang w:val="en-US"/>
        </w:rPr>
        <w:t>Table 9.1</w:t>
      </w:r>
      <w:r>
        <w:rPr>
          <w:lang w:val="en-US"/>
        </w:rPr>
        <w:t xml:space="preserve"> Teacher's competences and teaching responsibilities</w:t>
      </w:r>
    </w:p>
    <w:p>
      <w:pPr>
        <w:pStyle w:val="Normal"/>
        <w:rPr/>
      </w:pPr>
      <w:r>
        <w:rPr/>
      </w:r>
    </w:p>
    <w:tbl>
      <w:tblPr>
        <w:tblW w:w="9875" w:type="dxa"/>
        <w:jc w:val="left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noVBand="0" w:val="01e0" w:noHBand="0" w:lastColumn="1" w:firstColumn="1" w:lastRow="1" w:firstRow="1"/>
      </w:tblPr>
      <w:tblGrid>
        <w:gridCol w:w="725"/>
        <w:gridCol w:w="420"/>
        <w:gridCol w:w="506"/>
        <w:gridCol w:w="367"/>
        <w:gridCol w:w="1835"/>
        <w:gridCol w:w="409"/>
        <w:gridCol w:w="172"/>
        <w:gridCol w:w="1819"/>
        <w:gridCol w:w="220"/>
        <w:gridCol w:w="1873"/>
        <w:gridCol w:w="1529"/>
        <w:gridCol w:w="1"/>
      </w:tblGrid>
      <w:tr>
        <w:trPr/>
        <w:tc>
          <w:tcPr>
            <w:tcW w:w="42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lang w:val="en-US"/>
              </w:rPr>
            </w:pPr>
            <w:r>
              <w:rPr>
                <w:b/>
                <w:lang w:val="en-US"/>
              </w:rPr>
              <w:t>Name, initials, family name</w:t>
            </w:r>
          </w:p>
        </w:tc>
        <w:tc>
          <w:tcPr>
            <w:tcW w:w="56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9"/>
                <w:szCs w:val="19"/>
                <w:lang w:val="en-US"/>
              </w:rPr>
              <w:t>Dragan O. Đurić</w:t>
            </w:r>
          </w:p>
        </w:tc>
      </w:tr>
      <w:tr>
        <w:trPr/>
        <w:tc>
          <w:tcPr>
            <w:tcW w:w="42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val="en-US"/>
              </w:rPr>
            </w:pPr>
            <w:r>
              <w:rPr>
                <w:b/>
                <w:lang w:val="en-US"/>
              </w:rPr>
              <w:t>Title</w:t>
            </w:r>
          </w:p>
        </w:tc>
        <w:tc>
          <w:tcPr>
            <w:tcW w:w="56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Professor</w:t>
            </w:r>
          </w:p>
        </w:tc>
      </w:tr>
      <w:tr>
        <w:trPr/>
        <w:tc>
          <w:tcPr>
            <w:tcW w:w="42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lang w:val="en-US"/>
              </w:rPr>
            </w:pPr>
            <w:r>
              <w:rPr>
                <w:b/>
                <w:szCs w:val="22"/>
                <w:lang w:val="en-US"/>
              </w:rPr>
              <w:t>Institution where the teacher is a full-time employee (and since when)</w:t>
            </w:r>
          </w:p>
        </w:tc>
        <w:tc>
          <w:tcPr>
            <w:tcW w:w="56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</w:rPr>
              <w:t>Faculty of Organizational Sciences (FOS)</w:t>
            </w:r>
            <w:r>
              <w:rPr>
                <w:sz w:val="19"/>
                <w:szCs w:val="19"/>
                <w:lang w:val="sr-CS"/>
              </w:rPr>
              <w:t xml:space="preserve">, </w:t>
            </w:r>
            <w:r>
              <w:rPr>
                <w:sz w:val="19"/>
                <w:szCs w:val="19"/>
                <w:lang w:val="en-US"/>
              </w:rPr>
              <w:t>University of Belgrade (UB)</w:t>
            </w:r>
          </w:p>
          <w:p>
            <w:pPr>
              <w:pStyle w:val="Normal"/>
              <w:rPr/>
            </w:pPr>
            <w:r>
              <w:rPr>
                <w:sz w:val="19"/>
                <w:szCs w:val="19"/>
              </w:rPr>
              <w:t xml:space="preserve">Since </w:t>
            </w:r>
            <w:r>
              <w:rPr>
                <w:sz w:val="19"/>
                <w:szCs w:val="19"/>
              </w:rPr>
              <w:t>2007</w:t>
            </w:r>
            <w:r>
              <w:rPr>
                <w:sz w:val="19"/>
                <w:szCs w:val="19"/>
                <w:lang w:val="en-US"/>
              </w:rPr>
              <w:t>.</w:t>
            </w:r>
          </w:p>
        </w:tc>
      </w:tr>
      <w:tr>
        <w:trPr/>
        <w:tc>
          <w:tcPr>
            <w:tcW w:w="42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val="en-US"/>
              </w:rPr>
            </w:pPr>
            <w:r>
              <w:rPr>
                <w:b/>
                <w:lang w:val="en-US"/>
              </w:rPr>
              <w:t>Field of interest</w:t>
            </w:r>
          </w:p>
        </w:tc>
        <w:tc>
          <w:tcPr>
            <w:tcW w:w="56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Software engineering</w:t>
            </w:r>
          </w:p>
        </w:tc>
      </w:tr>
      <w:tr>
        <w:trPr/>
        <w:tc>
          <w:tcPr>
            <w:tcW w:w="987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lang w:val="sr-CS"/>
              </w:rPr>
            </w:pPr>
            <w:r>
              <w:rPr>
                <w:b/>
                <w:lang w:val="en-US"/>
              </w:rPr>
              <w:t>Academic career</w:t>
            </w:r>
          </w:p>
        </w:tc>
      </w:tr>
      <w:tr>
        <w:trPr/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val="sr-CS"/>
              </w:rPr>
            </w:pPr>
            <w:r>
              <w:rPr>
                <w:lang w:val="sr-CS"/>
              </w:rPr>
            </w:r>
          </w:p>
        </w:tc>
        <w:tc>
          <w:tcPr>
            <w:tcW w:w="8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val="en-US"/>
              </w:rPr>
            </w:pPr>
            <w:r>
              <w:rPr/>
              <w:t>Year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4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val="en-US"/>
              </w:rPr>
            </w:pPr>
            <w:r>
              <w:rPr/>
              <w:t>Institution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val="en-US"/>
              </w:rPr>
            </w:pPr>
            <w:r>
              <w:rPr/>
              <w:t>Field</w:t>
            </w:r>
            <w:r>
              <w:rPr>
                <w:lang w:val="en-US"/>
              </w:rPr>
              <w:t xml:space="preserve"> </w:t>
            </w:r>
          </w:p>
        </w:tc>
      </w:tr>
      <w:tr>
        <w:trPr/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val="sr-CS"/>
              </w:rPr>
            </w:pPr>
            <w:r>
              <w:rPr/>
              <w:t>Academic promotion</w:t>
            </w:r>
          </w:p>
        </w:tc>
        <w:tc>
          <w:tcPr>
            <w:tcW w:w="8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19"/>
                <w:szCs w:val="19"/>
                <w:lang w:val="sr-CS"/>
              </w:rPr>
              <w:t>20</w:t>
            </w:r>
            <w:r>
              <w:rPr>
                <w:sz w:val="19"/>
                <w:szCs w:val="19"/>
                <w:lang w:val="sr-CS"/>
              </w:rPr>
              <w:t>16</w:t>
            </w:r>
            <w:r>
              <w:rPr>
                <w:sz w:val="19"/>
                <w:szCs w:val="19"/>
                <w:lang w:val="sr-CS"/>
              </w:rPr>
              <w:t>.</w:t>
            </w:r>
          </w:p>
          <w:p>
            <w:pPr>
              <w:pStyle w:val="Normal"/>
              <w:jc w:val="center"/>
              <w:rPr>
                <w:sz w:val="19"/>
                <w:szCs w:val="19"/>
                <w:lang w:val="sr-CS"/>
              </w:rPr>
            </w:pPr>
            <w:r>
              <w:rPr/>
            </w:r>
          </w:p>
        </w:tc>
        <w:tc>
          <w:tcPr>
            <w:tcW w:w="4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9"/>
                <w:szCs w:val="19"/>
              </w:rPr>
              <w:t>Faculty of Organizational Sciences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9"/>
                <w:szCs w:val="19"/>
                <w:lang w:val="en-US"/>
              </w:rPr>
              <w:t>Software engineering</w:t>
            </w:r>
          </w:p>
        </w:tc>
      </w:tr>
      <w:tr>
        <w:trPr/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val="en-US"/>
              </w:rPr>
            </w:pPr>
            <w:r>
              <w:rPr>
                <w:szCs w:val="22"/>
                <w:lang w:val="en-US"/>
              </w:rPr>
              <w:t>PhD</w:t>
            </w:r>
          </w:p>
        </w:tc>
        <w:tc>
          <w:tcPr>
            <w:tcW w:w="8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19"/>
                <w:szCs w:val="19"/>
                <w:lang w:val="sr-CS"/>
              </w:rPr>
              <w:t>2006</w:t>
            </w:r>
            <w:r>
              <w:rPr>
                <w:sz w:val="19"/>
                <w:szCs w:val="19"/>
                <w:lang w:val="sr-CS"/>
              </w:rPr>
              <w:t>.</w:t>
            </w:r>
          </w:p>
        </w:tc>
        <w:tc>
          <w:tcPr>
            <w:tcW w:w="4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9"/>
                <w:szCs w:val="19"/>
                <w:lang w:val="en-US"/>
              </w:rPr>
              <w:t>Faculty of Organizational Sciences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9"/>
                <w:szCs w:val="19"/>
                <w:lang w:val="en-US"/>
              </w:rPr>
              <w:t>Information Systems and Technologies</w:t>
            </w:r>
            <w:r>
              <w:rPr>
                <w:sz w:val="19"/>
                <w:szCs w:val="19"/>
                <w:lang w:val="sr-CS"/>
              </w:rPr>
              <w:t xml:space="preserve"> – </w:t>
            </w:r>
            <w:r>
              <w:rPr>
                <w:sz w:val="19"/>
                <w:szCs w:val="19"/>
                <w:lang w:val="en-US"/>
              </w:rPr>
              <w:t>Software Engineering</w:t>
            </w:r>
          </w:p>
        </w:tc>
      </w:tr>
      <w:tr>
        <w:trPr/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val="en-US"/>
              </w:rPr>
            </w:pPr>
            <w:r>
              <w:rPr>
                <w:szCs w:val="22"/>
                <w:lang w:val="en-US"/>
              </w:rPr>
              <w:t>MSc</w:t>
            </w:r>
          </w:p>
        </w:tc>
        <w:tc>
          <w:tcPr>
            <w:tcW w:w="8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19"/>
                <w:szCs w:val="19"/>
                <w:lang w:val="sr-CS"/>
              </w:rPr>
              <w:t>2004</w:t>
            </w:r>
            <w:r>
              <w:rPr>
                <w:sz w:val="19"/>
                <w:szCs w:val="19"/>
                <w:lang w:val="sr-CS"/>
              </w:rPr>
              <w:t>.</w:t>
            </w:r>
          </w:p>
        </w:tc>
        <w:tc>
          <w:tcPr>
            <w:tcW w:w="4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9"/>
                <w:szCs w:val="19"/>
                <w:lang w:val="en-US"/>
              </w:rPr>
              <w:t>Faculty of Organizational Sciences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9"/>
                <w:szCs w:val="19"/>
                <w:lang w:val="en-US"/>
              </w:rPr>
              <w:t>Information Systems and Technologies</w:t>
            </w:r>
          </w:p>
        </w:tc>
      </w:tr>
      <w:tr>
        <w:trPr/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val="en-US"/>
              </w:rPr>
            </w:pPr>
            <w:r>
              <w:rPr>
                <w:szCs w:val="22"/>
                <w:lang w:val="en-US"/>
              </w:rPr>
              <w:t>BSc</w:t>
            </w:r>
          </w:p>
        </w:tc>
        <w:tc>
          <w:tcPr>
            <w:tcW w:w="8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19"/>
                <w:szCs w:val="19"/>
                <w:lang w:val="sr-CS"/>
              </w:rPr>
              <w:t>2002</w:t>
            </w:r>
            <w:r>
              <w:rPr>
                <w:sz w:val="19"/>
                <w:szCs w:val="19"/>
                <w:lang w:val="sr-CS"/>
              </w:rPr>
              <w:t>.</w:t>
            </w:r>
          </w:p>
        </w:tc>
        <w:tc>
          <w:tcPr>
            <w:tcW w:w="4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9"/>
                <w:szCs w:val="19"/>
                <w:lang w:val="en-US"/>
              </w:rPr>
              <w:t>Faculty of Organizational Sciences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9"/>
                <w:szCs w:val="19"/>
                <w:lang w:val="en-US"/>
              </w:rPr>
              <w:t>Information Systems and Technologies</w:t>
            </w:r>
          </w:p>
        </w:tc>
      </w:tr>
      <w:tr>
        <w:trPr/>
        <w:tc>
          <w:tcPr>
            <w:tcW w:w="987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lang w:val="ru-RU"/>
              </w:rPr>
            </w:pPr>
            <w:r>
              <w:rPr>
                <w:b/>
              </w:rPr>
              <w:t>List of BSc and MSc courses the teacher is currently responsible for</w:t>
            </w:r>
          </w:p>
        </w:tc>
      </w:tr>
      <w:tr>
        <w:trPr/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lang w:val="sr-CS"/>
              </w:rPr>
            </w:pPr>
            <w:r>
              <w:rPr>
                <w:b/>
              </w:rPr>
              <w:t>No.</w:t>
            </w:r>
          </w:p>
        </w:tc>
        <w:tc>
          <w:tcPr>
            <w:tcW w:w="31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iCs/>
                <w:lang w:val="en-US"/>
              </w:rPr>
            </w:pPr>
            <w:r>
              <w:rPr>
                <w:b/>
                <w:iCs/>
                <w:lang w:val="en-US"/>
              </w:rPr>
              <w:t>Course title</w:t>
            </w:r>
          </w:p>
        </w:tc>
        <w:tc>
          <w:tcPr>
            <w:tcW w:w="44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lang w:val="en-US"/>
              </w:rPr>
            </w:pPr>
            <w:r>
              <w:rPr>
                <w:b/>
                <w:iCs/>
                <w:lang w:val="en-US"/>
              </w:rPr>
              <w:t>Study program and level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Course hours</w:t>
            </w:r>
          </w:p>
        </w:tc>
      </w:tr>
      <w:tr>
        <w:trPr/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numPr>
                <w:ilvl w:val="0"/>
                <w:numId w:val="1"/>
              </w:numPr>
              <w:ind w:left="504" w:hanging="360"/>
              <w:jc w:val="center"/>
              <w:rPr>
                <w:b/>
                <w:b/>
                <w:lang w:val="sr-CS"/>
              </w:rPr>
            </w:pPr>
            <w:r>
              <w:rPr>
                <w:b/>
                <w:lang w:val="sr-CS"/>
              </w:rPr>
            </w:r>
          </w:p>
        </w:tc>
        <w:tc>
          <w:tcPr>
            <w:tcW w:w="31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9"/>
                <w:szCs w:val="19"/>
                <w:lang w:val="en-US"/>
              </w:rPr>
              <w:t>Modern software architectures</w:t>
            </w:r>
          </w:p>
        </w:tc>
        <w:tc>
          <w:tcPr>
            <w:tcW w:w="44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Information systems and technologies, BSc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19"/>
                <w:szCs w:val="19"/>
                <w:lang w:val="sr-Latn-RS"/>
              </w:rPr>
              <w:t>60</w:t>
            </w:r>
          </w:p>
        </w:tc>
      </w:tr>
      <w:tr>
        <w:trPr/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numPr>
                <w:ilvl w:val="0"/>
                <w:numId w:val="1"/>
              </w:numPr>
              <w:ind w:left="504" w:hanging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1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9"/>
                <w:szCs w:val="19"/>
              </w:rPr>
              <w:t>Software project management</w:t>
            </w:r>
          </w:p>
        </w:tc>
        <w:tc>
          <w:tcPr>
            <w:tcW w:w="44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en-US"/>
              </w:rPr>
              <w:t>Information systems and technologies, BSc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19"/>
                <w:szCs w:val="19"/>
                <w:lang w:val="sr-Latn-RS"/>
              </w:rPr>
              <w:t>60</w:t>
            </w:r>
          </w:p>
        </w:tc>
      </w:tr>
      <w:tr>
        <w:trPr/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numPr>
                <w:ilvl w:val="0"/>
                <w:numId w:val="1"/>
              </w:numPr>
              <w:ind w:left="504" w:hanging="360"/>
              <w:jc w:val="center"/>
              <w:rPr>
                <w:b/>
                <w:b/>
                <w:lang w:val="sr-CS"/>
              </w:rPr>
            </w:pPr>
            <w:r>
              <w:rPr>
                <w:b/>
                <w:lang w:val="sr-CS"/>
              </w:rPr>
            </w:r>
          </w:p>
        </w:tc>
        <w:tc>
          <w:tcPr>
            <w:tcW w:w="31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9"/>
                <w:szCs w:val="19"/>
                <w:lang w:val="en-US"/>
              </w:rPr>
              <w:t>Software engineering</w:t>
            </w:r>
          </w:p>
        </w:tc>
        <w:tc>
          <w:tcPr>
            <w:tcW w:w="44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9"/>
                <w:szCs w:val="19"/>
                <w:lang w:val="en-US"/>
              </w:rPr>
              <w:t>Information systems and technologies, BSc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19"/>
                <w:szCs w:val="19"/>
                <w:lang w:val="sr-Latn-RS"/>
              </w:rPr>
              <w:t>60</w:t>
            </w:r>
          </w:p>
        </w:tc>
      </w:tr>
      <w:tr>
        <w:trPr/>
        <w:tc>
          <w:tcPr>
            <w:tcW w:w="7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numPr>
                <w:ilvl w:val="0"/>
                <w:numId w:val="1"/>
              </w:numPr>
              <w:ind w:left="504" w:hanging="360"/>
              <w:jc w:val="center"/>
              <w:rPr>
                <w:b/>
                <w:b/>
                <w:lang w:val="sr-CS"/>
              </w:rPr>
            </w:pPr>
            <w:r>
              <w:rPr>
                <w:b/>
                <w:lang w:val="sr-CS"/>
              </w:rPr>
            </w:r>
          </w:p>
        </w:tc>
        <w:tc>
          <w:tcPr>
            <w:tcW w:w="3128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9"/>
                <w:szCs w:val="19"/>
                <w:lang w:val="en-US"/>
              </w:rPr>
              <w:t>Web programming</w:t>
            </w:r>
          </w:p>
        </w:tc>
        <w:tc>
          <w:tcPr>
            <w:tcW w:w="4493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9"/>
                <w:szCs w:val="19"/>
                <w:lang w:val="en-US"/>
              </w:rPr>
              <w:t>Information systems and technologies, BSc</w:t>
            </w:r>
          </w:p>
        </w:tc>
        <w:tc>
          <w:tcPr>
            <w:tcW w:w="15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19"/>
                <w:szCs w:val="19"/>
                <w:lang w:val="sr-Latn-RS"/>
              </w:rPr>
              <w:t>60</w:t>
            </w:r>
          </w:p>
        </w:tc>
      </w:tr>
      <w:tr>
        <w:trPr/>
        <w:tc>
          <w:tcPr>
            <w:tcW w:w="7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numPr>
                <w:ilvl w:val="0"/>
                <w:numId w:val="1"/>
              </w:numPr>
              <w:ind w:left="504" w:hanging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128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9"/>
                <w:szCs w:val="19"/>
              </w:rPr>
              <w:t>Software engineering tools and methods</w:t>
            </w:r>
          </w:p>
        </w:tc>
        <w:tc>
          <w:tcPr>
            <w:tcW w:w="4493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Style w:val="Hps"/>
                <w:color w:val="333333"/>
                <w:sz w:val="19"/>
                <w:szCs w:val="19"/>
                <w:lang w:val="en-US"/>
              </w:rPr>
              <w:t>Software engineering and computer science, MSc</w:t>
            </w:r>
          </w:p>
        </w:tc>
        <w:tc>
          <w:tcPr>
            <w:tcW w:w="15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19"/>
                <w:szCs w:val="19"/>
                <w:lang w:val="sr-RS"/>
              </w:rPr>
              <w:t>60</w:t>
            </w:r>
          </w:p>
        </w:tc>
      </w:tr>
      <w:tr>
        <w:trPr/>
        <w:tc>
          <w:tcPr>
            <w:tcW w:w="7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numPr>
                <w:ilvl w:val="0"/>
                <w:numId w:val="1"/>
              </w:numPr>
              <w:ind w:left="504" w:hanging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128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9"/>
                <w:szCs w:val="19"/>
              </w:rPr>
              <w:t>Intelligent information systems</w:t>
            </w:r>
          </w:p>
        </w:tc>
        <w:tc>
          <w:tcPr>
            <w:tcW w:w="4493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Style w:val="Hps"/>
                <w:color w:val="333333"/>
                <w:sz w:val="19"/>
                <w:szCs w:val="19"/>
                <w:lang w:val="en-US"/>
              </w:rPr>
              <w:t>Software engineering and computer science, MSc</w:t>
            </w:r>
          </w:p>
        </w:tc>
        <w:tc>
          <w:tcPr>
            <w:tcW w:w="15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19"/>
                <w:szCs w:val="19"/>
                <w:lang w:val="sr-Latn-RS"/>
              </w:rPr>
              <w:t>60</w:t>
            </w:r>
          </w:p>
        </w:tc>
      </w:tr>
      <w:tr>
        <w:trPr/>
        <w:tc>
          <w:tcPr>
            <w:tcW w:w="7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numPr>
                <w:ilvl w:val="0"/>
                <w:numId w:val="1"/>
              </w:numPr>
              <w:ind w:left="504" w:hanging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128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9"/>
                <w:szCs w:val="19"/>
              </w:rPr>
              <w:t>Technology enhanced learning</w:t>
            </w:r>
          </w:p>
        </w:tc>
        <w:tc>
          <w:tcPr>
            <w:tcW w:w="4493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rStyle w:val="Hps"/>
                <w:color w:val="333333"/>
                <w:sz w:val="19"/>
                <w:szCs w:val="19"/>
                <w:lang w:val="en-US"/>
              </w:rPr>
              <w:t>Social Sciences and Computing, MSc</w:t>
            </w:r>
          </w:p>
        </w:tc>
        <w:tc>
          <w:tcPr>
            <w:tcW w:w="15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19"/>
                <w:szCs w:val="19"/>
                <w:lang w:val="sr-Latn-RS"/>
              </w:rPr>
              <w:t>6</w:t>
            </w:r>
          </w:p>
        </w:tc>
      </w:tr>
      <w:tr>
        <w:trPr/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numPr>
                <w:ilvl w:val="0"/>
                <w:numId w:val="1"/>
              </w:numPr>
              <w:ind w:left="504" w:hanging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1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19"/>
                <w:szCs w:val="19"/>
              </w:rPr>
              <w:t>S</w:t>
            </w:r>
            <w:r>
              <w:rPr>
                <w:sz w:val="19"/>
                <w:szCs w:val="19"/>
              </w:rPr>
              <w:t>oftware configuration management</w:t>
            </w:r>
          </w:p>
        </w:tc>
        <w:tc>
          <w:tcPr>
            <w:tcW w:w="44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19"/>
                <w:szCs w:val="19"/>
              </w:rPr>
            </w:pPr>
            <w:r>
              <w:rPr>
                <w:rStyle w:val="Hps"/>
                <w:color w:val="333333"/>
                <w:sz w:val="19"/>
                <w:szCs w:val="19"/>
                <w:lang w:val="en-US"/>
              </w:rPr>
              <w:t>Software engineering and computer science, MSc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/>
            </w:pPr>
            <w:r>
              <w:rPr>
                <w:sz w:val="19"/>
                <w:szCs w:val="19"/>
                <w:lang w:val="sr-RS"/>
              </w:rPr>
              <w:t>60</w:t>
            </w:r>
          </w:p>
        </w:tc>
      </w:tr>
      <w:tr>
        <w:trPr/>
        <w:tc>
          <w:tcPr>
            <w:tcW w:w="987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lang w:val="sr-CS"/>
              </w:rPr>
            </w:pPr>
            <w:r>
              <w:rPr>
                <w:b/>
              </w:rPr>
              <w:t>The most important research publications (min 5, max 10)</w:t>
            </w:r>
          </w:p>
        </w:tc>
        <w:tc>
          <w:tcPr>
            <w:tcW w:w="1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numPr>
                <w:ilvl w:val="0"/>
                <w:numId w:val="2"/>
              </w:numPr>
              <w:autoSpaceDE w:val="true"/>
              <w:snapToGrid w:val="false"/>
              <w:rPr>
                <w:lang w:val="sr-CS"/>
              </w:rPr>
            </w:pPr>
            <w:r>
              <w:rPr>
                <w:lang w:val="sr-CS"/>
              </w:rPr>
            </w:r>
          </w:p>
        </w:tc>
        <w:tc>
          <w:tcPr>
            <w:tcW w:w="915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100" w:before="0" w:after="0"/>
              <w:rPr>
                <w:rFonts w:eastAsia="Times New Roman" w:cs="Times New Roman"/>
                <w:sz w:val="19"/>
                <w:szCs w:val="19"/>
                <w:lang w:val="en-US"/>
              </w:rPr>
            </w:pPr>
            <w:r>
              <w:rPr>
                <w:rFonts w:eastAsia="Times New Roman" w:cs="Times New Roman"/>
                <w:sz w:val="19"/>
                <w:szCs w:val="19"/>
                <w:lang w:val="en-US"/>
              </w:rPr>
              <w:t>D. Đurić, V. Devedžić, "Incorporating the Ontology Paradigm Into Mainstream Programming Environment", INFORMATICA, Vol. 23, No. 2, 203-224, 2012. http://www.mii.lt/informatica/htm/INFO861.htm</w:t>
            </w:r>
          </w:p>
        </w:tc>
      </w:tr>
      <w:tr>
        <w:trPr/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numPr>
                <w:ilvl w:val="0"/>
                <w:numId w:val="2"/>
              </w:numPr>
              <w:autoSpaceDE w:val="true"/>
              <w:snapToGrid w:val="false"/>
              <w:rPr>
                <w:lang w:val="sr-CS"/>
              </w:rPr>
            </w:pPr>
            <w:r>
              <w:rPr>
                <w:lang w:val="sr-CS"/>
              </w:rPr>
            </w:r>
          </w:p>
        </w:tc>
        <w:tc>
          <w:tcPr>
            <w:tcW w:w="915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100" w:before="0" w:after="0"/>
              <w:rPr/>
            </w:pPr>
            <w:r>
              <w:rPr>
                <w:rFonts w:eastAsia="Times New Roman" w:cs="Times New Roman"/>
                <w:sz w:val="19"/>
                <w:szCs w:val="19"/>
                <w:lang w:val="en-US"/>
              </w:rPr>
              <w:t>D. Đurić, “</w:t>
            </w:r>
            <w:r>
              <w:rPr>
                <w:rFonts w:eastAsia="Times New Roman" w:cs="Times New Roman"/>
                <w:b w:val="false"/>
                <w:i w:val="false"/>
                <w:caps w:val="false"/>
                <w:smallCaps w:val="false"/>
                <w:color w:val="auto"/>
                <w:spacing w:val="0"/>
                <w:sz w:val="19"/>
                <w:szCs w:val="19"/>
                <w:lang w:val="en-US" w:eastAsia="zh-CN" w:bidi="ar-SA"/>
              </w:rPr>
              <w:t>Penetrating the Omerta of Predatory Publishing: The Romanian Connection”, SCIENCE AND ENGINEERING ETHICS, (2015), vol. 21 br. 1, str. 183-202</w:t>
            </w:r>
          </w:p>
        </w:tc>
      </w:tr>
      <w:tr>
        <w:trPr/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numPr>
                <w:ilvl w:val="0"/>
                <w:numId w:val="2"/>
              </w:numPr>
              <w:autoSpaceDE w:val="true"/>
              <w:snapToGrid w:val="false"/>
              <w:rPr>
                <w:lang w:val="sr-CS"/>
              </w:rPr>
            </w:pPr>
            <w:r>
              <w:rPr>
                <w:lang w:val="sr-CS"/>
              </w:rPr>
            </w:r>
          </w:p>
        </w:tc>
        <w:tc>
          <w:tcPr>
            <w:tcW w:w="915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100" w:before="0" w:after="0"/>
              <w:rPr>
                <w:rFonts w:eastAsia="Times New Roman" w:cs="Times New Roman"/>
                <w:sz w:val="19"/>
                <w:szCs w:val="19"/>
                <w:lang w:val="en-US"/>
              </w:rPr>
            </w:pPr>
            <w:r>
              <w:rPr>
                <w:rFonts w:eastAsia="Times New Roman" w:cs="Times New Roman"/>
                <w:sz w:val="19"/>
                <w:szCs w:val="19"/>
                <w:lang w:val="en-US"/>
              </w:rPr>
              <w:t>Dragan Djuric, Vladan Devedzic, „Incorporating the Ontology Paradigm Into Software Engineering: Enhancing Domain-Driven Programming in Clojure/Java“, IEEE Transactions of Systems, Man, and Cybernetics, Part C: Applications and Reviews, vol. 42 issue 1, pp 1 – 13, 2021., ISSN: 1094-6977, doi: 10.1109/TSMCC.2011.2140316 http://</w:t>
            </w:r>
          </w:p>
          <w:p>
            <w:pPr>
              <w:pStyle w:val="Normal"/>
              <w:spacing w:lineRule="atLeast" w:line="100" w:before="0" w:after="0"/>
              <w:rPr>
                <w:rFonts w:eastAsia="Times New Roman" w:cs="Times New Roman"/>
                <w:sz w:val="19"/>
                <w:szCs w:val="19"/>
                <w:lang w:val="en-US"/>
              </w:rPr>
            </w:pPr>
            <w:r>
              <w:rPr>
                <w:rFonts w:eastAsia="Times New Roman" w:cs="Times New Roman"/>
                <w:sz w:val="19"/>
                <w:szCs w:val="19"/>
                <w:lang w:val="en-US"/>
              </w:rPr>
              <w:t>ieeexplore.ieee.org/xpl/tocresult.jsp?reload=true&amp;isnumber=6104267</w:t>
            </w:r>
          </w:p>
        </w:tc>
      </w:tr>
      <w:tr>
        <w:trPr/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numPr>
                <w:ilvl w:val="0"/>
                <w:numId w:val="2"/>
              </w:numPr>
              <w:autoSpaceDE w:val="true"/>
              <w:snapToGrid w:val="false"/>
              <w:rPr>
                <w:lang w:val="sr-CS"/>
              </w:rPr>
            </w:pPr>
            <w:r>
              <w:rPr>
                <w:lang w:val="sr-CS"/>
              </w:rPr>
            </w:r>
          </w:p>
        </w:tc>
        <w:tc>
          <w:tcPr>
            <w:tcW w:w="915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100" w:before="0" w:after="0"/>
              <w:rPr>
                <w:rFonts w:eastAsia="Times New Roman" w:cs="Times New Roman"/>
                <w:sz w:val="19"/>
                <w:szCs w:val="19"/>
                <w:lang w:val="en-GB"/>
              </w:rPr>
            </w:pPr>
            <w:r>
              <w:rPr>
                <w:rFonts w:eastAsia="Times New Roman" w:cs="Times New Roman"/>
                <w:sz w:val="19"/>
                <w:szCs w:val="19"/>
                <w:lang w:val="en-GB"/>
              </w:rPr>
              <w:t>3. D. Djurić, V. Devedžić, "Magic Potion: Incorporating New Development Paradigms Through DSLs", IEEE Software, Vol.27, No.5, Sep/Oct 2010., doi:10.1109/MS.2010.90</w:t>
            </w:r>
          </w:p>
        </w:tc>
      </w:tr>
      <w:tr>
        <w:trPr/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numPr>
                <w:ilvl w:val="0"/>
                <w:numId w:val="2"/>
              </w:numPr>
              <w:autoSpaceDE w:val="true"/>
              <w:snapToGrid w:val="false"/>
              <w:rPr>
                <w:lang w:val="sr-CS"/>
              </w:rPr>
            </w:pPr>
            <w:r>
              <w:rPr>
                <w:lang w:val="sr-CS"/>
              </w:rPr>
            </w:r>
          </w:p>
        </w:tc>
        <w:tc>
          <w:tcPr>
            <w:tcW w:w="915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100" w:before="0" w:after="0"/>
              <w:rPr>
                <w:rFonts w:eastAsia="Times New Roman" w:cs="Times New Roman"/>
                <w:sz w:val="19"/>
                <w:szCs w:val="19"/>
                <w:lang w:val="en-GB"/>
              </w:rPr>
            </w:pPr>
            <w:r>
              <w:rPr>
                <w:rFonts w:eastAsia="Times New Roman" w:cs="Times New Roman"/>
                <w:sz w:val="19"/>
                <w:szCs w:val="19"/>
                <w:lang w:val="en-GB"/>
              </w:rPr>
              <w:t>5. D. Đurić, V. Devedžić, D. Gašević, "Adopting Software Engineering Trends in AI", IEEE Intelligent Systems, Vol.22, No.1, 2007, pp. 59-66., doi:10.1109/MIS.2007.2</w:t>
            </w:r>
          </w:p>
        </w:tc>
      </w:tr>
      <w:tr>
        <w:trPr/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numPr>
                <w:ilvl w:val="0"/>
                <w:numId w:val="2"/>
              </w:numPr>
              <w:autoSpaceDE w:val="true"/>
              <w:snapToGrid w:val="false"/>
              <w:rPr>
                <w:lang w:val="sr-CS"/>
              </w:rPr>
            </w:pPr>
            <w:r>
              <w:rPr>
                <w:lang w:val="sr-CS"/>
              </w:rPr>
            </w:r>
          </w:p>
        </w:tc>
        <w:tc>
          <w:tcPr>
            <w:tcW w:w="915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100" w:before="0" w:after="0"/>
              <w:rPr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auto"/>
                <w:sz w:val="19"/>
                <w:u w:val="none"/>
                <w:lang w:val="en-US"/>
              </w:rPr>
            </w:pPr>
            <w:r>
              <w:rPr>
                <w:b w:val="false"/>
                <w:i w:val="false"/>
                <w:caps w:val="false"/>
                <w:smallCaps w:val="false"/>
                <w:strike w:val="false"/>
                <w:dstrike w:val="false"/>
                <w:color w:val="auto"/>
                <w:sz w:val="19"/>
                <w:u w:val="none"/>
                <w:lang w:val="en-US"/>
              </w:rPr>
              <w:t>D. Gašević, D. Djurić, V. Devedžić, "Model Driven Engineering and Ontology Development", 2nd ed., Springer, Berlin Heidelberg New York, 2009. (ISBN: 978-3-642-00281-6)</w:t>
            </w:r>
          </w:p>
        </w:tc>
      </w:tr>
      <w:tr>
        <w:trPr/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numPr>
                <w:ilvl w:val="0"/>
                <w:numId w:val="2"/>
              </w:numPr>
              <w:autoSpaceDE w:val="true"/>
              <w:snapToGrid w:val="false"/>
              <w:rPr>
                <w:lang w:val="sr-CS"/>
              </w:rPr>
            </w:pPr>
            <w:r>
              <w:rPr>
                <w:lang w:val="sr-CS"/>
              </w:rPr>
            </w:r>
          </w:p>
        </w:tc>
        <w:tc>
          <w:tcPr>
            <w:tcW w:w="915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100" w:before="0" w:after="0"/>
              <w:rPr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auto"/>
                <w:sz w:val="19"/>
                <w:u w:val="none"/>
                <w:lang w:val="en-US"/>
              </w:rPr>
            </w:pPr>
            <w:r>
              <w:rPr>
                <w:b w:val="false"/>
                <w:i w:val="false"/>
                <w:caps w:val="false"/>
                <w:smallCaps w:val="false"/>
                <w:strike w:val="false"/>
                <w:dstrike w:val="false"/>
                <w:color w:val="auto"/>
                <w:sz w:val="19"/>
                <w:u w:val="none"/>
                <w:lang w:val="en-US"/>
              </w:rPr>
              <w:t>D. Gašević, D. Đurić, V. Devedžić, "Model Driven Architecture and Ontology Development", Monograph, Springer, Berlin Heidelberg New York, 2006. (ISBN-10: 3-540-32180-2; ISBN-13: 978-3-540-32180-4)</w:t>
            </w:r>
          </w:p>
          <w:p>
            <w:pPr>
              <w:pStyle w:val="Normal"/>
              <w:spacing w:lineRule="atLeast" w:line="100" w:before="0" w:after="0"/>
              <w:rPr>
                <w:rFonts w:eastAsia="Times New Roman" w:cs="Times New Roman"/>
                <w:color w:val="auto"/>
                <w:sz w:val="19"/>
                <w:szCs w:val="19"/>
                <w:lang w:val="en-US" w:bidi="ar-SA"/>
              </w:rPr>
            </w:pPr>
            <w:r>
              <w:rPr>
                <w:rFonts w:eastAsia="Times New Roman" w:cs="Times New Roman"/>
                <w:color w:val="auto"/>
                <w:sz w:val="19"/>
                <w:szCs w:val="19"/>
                <w:lang w:val="en-US" w:bidi="ar-SA"/>
              </w:rPr>
            </w:r>
          </w:p>
        </w:tc>
      </w:tr>
      <w:tr>
        <w:trPr/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numPr>
                <w:ilvl w:val="0"/>
                <w:numId w:val="2"/>
              </w:numPr>
              <w:snapToGrid w:val="false"/>
              <w:rPr>
                <w:rFonts w:eastAsia="Times New Roman" w:cs="Times New Roman"/>
                <w:color w:val="auto"/>
                <w:sz w:val="19"/>
                <w:szCs w:val="19"/>
                <w:lang w:val="sr-CS" w:bidi="ar-SA"/>
              </w:rPr>
            </w:pPr>
            <w:r>
              <w:rPr>
                <w:rFonts w:eastAsia="Times New Roman" w:cs="Times New Roman"/>
                <w:color w:val="auto"/>
                <w:sz w:val="19"/>
                <w:szCs w:val="19"/>
                <w:lang w:val="sr-CS" w:bidi="ar-SA"/>
              </w:rPr>
            </w:r>
          </w:p>
        </w:tc>
        <w:tc>
          <w:tcPr>
            <w:tcW w:w="915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/>
            </w:pPr>
            <w:r>
              <w:rPr>
                <w:sz w:val="19"/>
                <w:szCs w:val="19"/>
                <w:lang w:val="sr-CS"/>
              </w:rPr>
              <w:t xml:space="preserve">V. Devedzic, B. Tomic, J. Jovanovic, M. Kelly, N. Milikic, S. Dimitrijevic, D. Djuric &amp; Z. Sevarac, “Metrics for Students’ Soft Skills”, </w:t>
            </w:r>
            <w:r>
              <w:rPr>
                <w:b/>
                <w:sz w:val="19"/>
                <w:szCs w:val="19"/>
                <w:lang w:val="sr-CS"/>
              </w:rPr>
              <w:t>Applied Measurement in Education</w:t>
            </w:r>
            <w:r>
              <w:rPr>
                <w:sz w:val="19"/>
                <w:szCs w:val="19"/>
                <w:lang w:val="sr-CS"/>
              </w:rPr>
              <w:t>, Vol.31, No.4, 2018, pp. 283-296, DOI: 10.1080/08957347.2018.1495212</w:t>
            </w:r>
          </w:p>
        </w:tc>
      </w:tr>
      <w:tr>
        <w:trPr/>
        <w:tc>
          <w:tcPr>
            <w:tcW w:w="7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numPr>
                <w:ilvl w:val="0"/>
                <w:numId w:val="2"/>
              </w:numPr>
              <w:snapToGrid w:val="false"/>
              <w:rPr>
                <w:lang w:val="sr-CS"/>
              </w:rPr>
            </w:pPr>
            <w:r>
              <w:rPr>
                <w:lang w:val="sr-CS"/>
              </w:rPr>
            </w:r>
          </w:p>
        </w:tc>
        <w:tc>
          <w:tcPr>
            <w:tcW w:w="9150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/>
            </w:pPr>
            <w:r>
              <w:rPr/>
              <w:t xml:space="preserve">B. Tomić, J. Jovanović, N. Milikić, V. Devedžić, S. Dimitrijević, D. Đurić, Z. Ševarac, “Grading students’ programming and soft skills with open badges – a case study”, </w:t>
            </w:r>
            <w:r>
              <w:rPr>
                <w:b/>
              </w:rPr>
              <w:t>British Journal of Educational Technology (BJET)</w:t>
            </w:r>
            <w:r>
              <w:rPr/>
              <w:t>, 2017. DOI: 10.1111/bjet.12564</w:t>
            </w:r>
          </w:p>
        </w:tc>
      </w:tr>
      <w:tr>
        <w:trPr/>
        <w:tc>
          <w:tcPr>
            <w:tcW w:w="7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/>
              <w:numPr>
                <w:ilvl w:val="0"/>
                <w:numId w:val="2"/>
              </w:numPr>
              <w:autoSpaceDE w:val="true"/>
              <w:snapToGrid w:val="false"/>
              <w:rPr>
                <w:lang w:val="sr-CS"/>
              </w:rPr>
            </w:pPr>
            <w:r>
              <w:rPr>
                <w:lang w:val="sr-CS"/>
              </w:rPr>
            </w:r>
          </w:p>
        </w:tc>
        <w:tc>
          <w:tcPr>
            <w:tcW w:w="9150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rFonts w:eastAsia="Times New Roman" w:cs="Times New Roman"/>
                <w:color w:val="auto"/>
                <w:sz w:val="19"/>
                <w:szCs w:val="19"/>
                <w:lang w:val="en-US" w:bidi="ar-SA"/>
              </w:rPr>
            </w:pPr>
            <w:r>
              <w:rPr>
                <w:rFonts w:eastAsia="Times New Roman" w:cs="Times New Roman"/>
                <w:color w:val="auto"/>
                <w:sz w:val="19"/>
                <w:szCs w:val="19"/>
                <w:lang w:val="en-US" w:bidi="ar-SA"/>
              </w:rPr>
              <w:t>D. Đurić, D. Gašević, V. Devedžić, "The Tao of Modeling Spaces", Journal of Object Technology, Vol.5, No.8, Nov-Dec 2006, pp. 125-147.</w:t>
            </w:r>
          </w:p>
        </w:tc>
      </w:tr>
      <w:tr>
        <w:trPr/>
        <w:tc>
          <w:tcPr>
            <w:tcW w:w="987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lang w:val="sr-CS"/>
              </w:rPr>
            </w:pPr>
            <w:r>
              <w:rPr>
                <w:b/>
                <w:sz w:val="22"/>
                <w:szCs w:val="22"/>
              </w:rPr>
              <w:t>Summary of the teacher's research activity</w:t>
            </w:r>
          </w:p>
        </w:tc>
      </w:tr>
      <w:tr>
        <w:trPr/>
        <w:tc>
          <w:tcPr>
            <w:tcW w:w="44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Total number of citations, excl. self-citations</w:t>
            </w:r>
          </w:p>
        </w:tc>
        <w:tc>
          <w:tcPr>
            <w:tcW w:w="54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 w:val="22"/>
                <w:szCs w:val="22"/>
                <w:lang w:val="sr-CS"/>
              </w:rPr>
              <w:t>1727</w:t>
            </w:r>
            <w:r>
              <w:rPr>
                <w:szCs w:val="22"/>
                <w:lang w:val="en-US"/>
              </w:rPr>
              <w:t xml:space="preserve"> (Google Scholar)</w:t>
            </w:r>
          </w:p>
        </w:tc>
      </w:tr>
      <w:tr>
        <w:trPr/>
        <w:tc>
          <w:tcPr>
            <w:tcW w:w="44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Total number of </w:t>
            </w:r>
            <w:r>
              <w:rPr>
                <w:sz w:val="22"/>
                <w:szCs w:val="22"/>
                <w:lang w:val="en-US"/>
              </w:rPr>
              <w:t xml:space="preserve">SCI (SSCI) </w:t>
            </w:r>
            <w:r>
              <w:rPr>
                <w:sz w:val="22"/>
                <w:szCs w:val="22"/>
              </w:rPr>
              <w:t>papers</w:t>
            </w:r>
          </w:p>
        </w:tc>
        <w:tc>
          <w:tcPr>
            <w:tcW w:w="54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>
                <w:szCs w:val="22"/>
                <w:lang w:val="sr-RS"/>
              </w:rPr>
              <w:t>7</w:t>
            </w:r>
          </w:p>
        </w:tc>
      </w:tr>
      <w:tr>
        <w:trPr/>
        <w:tc>
          <w:tcPr>
            <w:tcW w:w="44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Current participation in projects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val="en-US"/>
              </w:rPr>
            </w:pPr>
            <w:r>
              <w:rPr>
                <w:sz w:val="22"/>
                <w:szCs w:val="22"/>
              </w:rPr>
              <w:t>National</w:t>
            </w:r>
            <w:r>
              <w:rPr>
                <w:sz w:val="22"/>
                <w:szCs w:val="22"/>
                <w:lang w:val="en-US"/>
              </w:rPr>
              <w:t>: 2</w:t>
            </w:r>
          </w:p>
        </w:tc>
        <w:tc>
          <w:tcPr>
            <w:tcW w:w="36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val="sr-RS"/>
              </w:rPr>
            </w:pPr>
            <w:r>
              <w:rPr>
                <w:sz w:val="22"/>
                <w:szCs w:val="22"/>
              </w:rPr>
              <w:t>International</w:t>
            </w:r>
            <w:r>
              <w:rPr>
                <w:sz w:val="22"/>
                <w:szCs w:val="22"/>
                <w:lang w:val="en-US"/>
              </w:rPr>
              <w:t xml:space="preserve">: </w:t>
            </w:r>
            <w:r>
              <w:rPr>
                <w:sz w:val="22"/>
                <w:szCs w:val="22"/>
                <w:lang w:val="sr-RS"/>
              </w:rPr>
              <w:t>1</w:t>
            </w:r>
          </w:p>
        </w:tc>
      </w:tr>
      <w:tr>
        <w:trPr/>
        <w:tc>
          <w:tcPr>
            <w:tcW w:w="16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Research visits</w:t>
            </w:r>
          </w:p>
        </w:tc>
        <w:tc>
          <w:tcPr>
            <w:tcW w:w="822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textAlignment w:val="top"/>
              <w:rPr>
                <w:lang w:val="en-US"/>
              </w:rPr>
            </w:pPr>
            <w:r>
              <w:rPr>
                <w:color w:val="333333"/>
                <w:lang w:val="en-US"/>
              </w:rPr>
              <w:t>U</w:t>
            </w:r>
            <w:r>
              <w:rPr>
                <w:rStyle w:val="Hps"/>
                <w:color w:val="333333"/>
                <w:lang w:val="en-US"/>
              </w:rPr>
              <w:t>niversity of California, Los Angeles, USA (1992)</w:t>
            </w:r>
            <w:r>
              <w:rPr>
                <w:color w:val="333333"/>
                <w:lang w:val="en-US"/>
              </w:rPr>
              <w:t>.</w:t>
            </w:r>
          </w:p>
        </w:tc>
      </w:tr>
      <w:tr>
        <w:trPr/>
        <w:tc>
          <w:tcPr>
            <w:tcW w:w="987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sz w:val="22"/>
                <w:szCs w:val="22"/>
                <w:lang w:val="sr-CS"/>
              </w:rPr>
            </w:pPr>
            <w:r>
              <w:rPr>
                <w:sz w:val="22"/>
                <w:szCs w:val="22"/>
              </w:rPr>
              <w:t>Other relevant facts:</w:t>
            </w:r>
          </w:p>
          <w:p>
            <w:pPr>
              <w:pStyle w:val="Normal"/>
              <w:jc w:val="both"/>
              <w:rPr>
                <w:color w:val="333333"/>
                <w:sz w:val="19"/>
                <w:szCs w:val="19"/>
              </w:rPr>
            </w:pPr>
            <w:r>
              <w:rPr/>
            </w:r>
          </w:p>
        </w:tc>
      </w:tr>
    </w:tbl>
    <w:p>
      <w:pPr>
        <w:pStyle w:val="Normal"/>
        <w:rPr>
          <w:sz w:val="2"/>
        </w:rPr>
      </w:pPr>
      <w:r>
        <w:rPr>
          <w:sz w:val="2"/>
        </w:rPr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sectPr>
      <w:type w:val="nextPage"/>
      <w:pgSz w:w="12240" w:h="15840"/>
      <w:pgMar w:left="1134" w:right="1134" w:header="0" w:top="567" w:footer="0" w:bottom="567" w:gutter="0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ourier New">
    <w:charset w:val="01"/>
    <w:family w:val="roman"/>
    <w:pitch w:val="variable"/>
  </w:font>
  <w:font w:name="Times">
    <w:altName w:val="Times New Roman"/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Verdana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20"/>
  <w:mirrorMargins/>
  <w:embedSystemFonts/>
  <w:defaultTabStop w:val="720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>
      <w:pPr/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</w:latentStyles>
  <w:style w:type="paragraph" w:styleId="Normal" w:default="1">
    <w:name w:val="Normal"/>
    <w:qFormat/>
    <w:rsid w:val="000e2421"/>
    <w:pPr>
      <w:widowControl w:val="false"/>
      <w:bidi w:val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sr-Latn-CS" w:eastAsia="sr-Latn-CS" w:bidi="ar-SA"/>
    </w:rPr>
  </w:style>
  <w:style w:type="paragraph" w:styleId="Heading1">
    <w:name w:val="Heading 1"/>
    <w:basedOn w:val="Normal"/>
    <w:next w:val="Normal"/>
    <w:link w:val="Heading1Char"/>
    <w:qFormat/>
    <w:rsid w:val="00297654"/>
    <w:pPr>
      <w:keepNext w:val="true"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e55139"/>
    <w:pPr>
      <w:keepNext w:val="true"/>
      <w:widowControl/>
      <w:spacing w:before="0" w:after="60"/>
      <w:outlineLvl w:val="2"/>
    </w:pPr>
    <w:rPr>
      <w:rFonts w:ascii="Arial" w:hAnsi="Arial" w:cs="Arial"/>
      <w:bCs/>
      <w:i/>
      <w:sz w:val="24"/>
      <w:szCs w:val="26"/>
      <w:lang w:val="en-US" w:eastAsia="en-U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rnetLink">
    <w:name w:val="Internet Link"/>
    <w:uiPriority w:val="99"/>
    <w:rsid w:val="009a30e1"/>
    <w:rPr>
      <w:color w:val="0000FF"/>
      <w:u w:val="single"/>
    </w:rPr>
  </w:style>
  <w:style w:type="character" w:styleId="HTMLPreformattedChar" w:customStyle="1">
    <w:name w:val="HTML Preformatted Char"/>
    <w:basedOn w:val="DefaultParagraphFont"/>
    <w:link w:val="HTMLPreformatted"/>
    <w:qFormat/>
    <w:rsid w:val="003311c0"/>
    <w:rPr>
      <w:rFonts w:ascii="Courier New" w:hAnsi="Courier New"/>
    </w:rPr>
  </w:style>
  <w:style w:type="character" w:styleId="Heading3Char" w:customStyle="1">
    <w:name w:val="Heading 3 Char"/>
    <w:basedOn w:val="DefaultParagraphFont"/>
    <w:link w:val="Heading3"/>
    <w:qFormat/>
    <w:rsid w:val="00e55139"/>
    <w:rPr>
      <w:rFonts w:ascii="Arial" w:hAnsi="Arial" w:cs="Arial"/>
      <w:bCs/>
      <w:i/>
      <w:sz w:val="24"/>
      <w:szCs w:val="26"/>
    </w:rPr>
  </w:style>
  <w:style w:type="character" w:styleId="Applestylespan" w:customStyle="1">
    <w:name w:val="apple-style-span"/>
    <w:basedOn w:val="DefaultParagraphFont"/>
    <w:qFormat/>
    <w:rsid w:val="00d052b3"/>
    <w:rPr/>
  </w:style>
  <w:style w:type="character" w:styleId="Appleconvertedspace" w:customStyle="1">
    <w:name w:val="apple-converted-space"/>
    <w:basedOn w:val="DefaultParagraphFont"/>
    <w:qFormat/>
    <w:rsid w:val="00d052b3"/>
    <w:rPr/>
  </w:style>
  <w:style w:type="character" w:styleId="Hps" w:customStyle="1">
    <w:name w:val="hps"/>
    <w:basedOn w:val="DefaultParagraphFont"/>
    <w:qFormat/>
    <w:rsid w:val="00d052b3"/>
    <w:rPr/>
  </w:style>
  <w:style w:type="character" w:styleId="FooterChar" w:customStyle="1">
    <w:name w:val="Footer Char"/>
    <w:basedOn w:val="DefaultParagraphFont"/>
    <w:link w:val="Footer"/>
    <w:qFormat/>
    <w:rsid w:val="00d11630"/>
    <w:rPr>
      <w:rFonts w:ascii="Times" w:hAnsi="Times"/>
      <w:lang w:val="hr-HR"/>
    </w:rPr>
  </w:style>
  <w:style w:type="character" w:styleId="Style48" w:customStyle="1">
    <w:name w:val="style48"/>
    <w:basedOn w:val="DefaultParagraphFont"/>
    <w:qFormat/>
    <w:rsid w:val="00d11630"/>
    <w:rPr/>
  </w:style>
  <w:style w:type="character" w:styleId="Style41" w:customStyle="1">
    <w:name w:val="style41"/>
    <w:basedOn w:val="DefaultParagraphFont"/>
    <w:qFormat/>
    <w:rsid w:val="00d11630"/>
    <w:rPr/>
  </w:style>
  <w:style w:type="character" w:styleId="Heading1Char" w:customStyle="1">
    <w:name w:val="Heading 1 Char"/>
    <w:basedOn w:val="DefaultParagraphFont"/>
    <w:link w:val="Heading1"/>
    <w:qFormat/>
    <w:rsid w:val="00297654"/>
    <w:rPr>
      <w:rFonts w:ascii="Cambria" w:hAnsi="Cambria" w:eastAsia="Times New Roman" w:cs="Times New Roman"/>
      <w:b/>
      <w:bCs/>
      <w:kern w:val="2"/>
      <w:sz w:val="32"/>
      <w:szCs w:val="32"/>
      <w:lang w:val="sr-Latn-CS" w:eastAsia="sr-Latn-CS"/>
    </w:rPr>
  </w:style>
  <w:style w:type="character" w:styleId="BalloonTextChar" w:customStyle="1">
    <w:name w:val="Balloon Text Char"/>
    <w:basedOn w:val="DefaultParagraphFont"/>
    <w:link w:val="BalloonText"/>
    <w:qFormat/>
    <w:rsid w:val="00df7c5a"/>
    <w:rPr>
      <w:rFonts w:ascii="Tahoma" w:hAnsi="Tahoma" w:cs="Tahoma"/>
      <w:sz w:val="16"/>
      <w:szCs w:val="16"/>
      <w:lang w:val="sr-Latn-CS" w:eastAsia="sr-Latn-CS"/>
    </w:rPr>
  </w:style>
  <w:style w:type="character" w:styleId="Toph" w:customStyle="1">
    <w:name w:val="top-h"/>
    <w:basedOn w:val="DefaultParagraphFont"/>
    <w:qFormat/>
    <w:rsid w:val="006b6e34"/>
    <w:rPr/>
  </w:style>
  <w:style w:type="character" w:styleId="Yshortcuts" w:customStyle="1">
    <w:name w:val="yshortcuts"/>
    <w:basedOn w:val="DefaultParagraphFont"/>
    <w:qFormat/>
    <w:rsid w:val="0035127d"/>
    <w:rPr/>
  </w:style>
  <w:style w:type="character" w:styleId="Contentslistitemarticletitle" w:customStyle="1">
    <w:name w:val="contentslistitem_articletitle"/>
    <w:basedOn w:val="DefaultParagraphFont"/>
    <w:qFormat/>
    <w:rsid w:val="0035127d"/>
    <w:rPr/>
  </w:style>
  <w:style w:type="character" w:styleId="Contentslistitempages" w:customStyle="1">
    <w:name w:val="contentslistitem_pages"/>
    <w:basedOn w:val="DefaultParagraphFont"/>
    <w:qFormat/>
    <w:rsid w:val="0035127d"/>
    <w:rPr/>
  </w:style>
  <w:style w:type="character" w:styleId="Msonormalstyle1" w:customStyle="1">
    <w:name w:val="msonormal style1"/>
    <w:basedOn w:val="DefaultParagraphFont"/>
    <w:qFormat/>
    <w:rsid w:val="00210aaa"/>
    <w:rPr/>
  </w:style>
  <w:style w:type="character" w:styleId="DocumentMapChar" w:customStyle="1">
    <w:name w:val="Document Map Char"/>
    <w:basedOn w:val="DefaultParagraphFont"/>
    <w:link w:val="DocumentMap"/>
    <w:qFormat/>
    <w:rsid w:val="00b131f4"/>
    <w:rPr>
      <w:rFonts w:ascii="Tahoma" w:hAnsi="Tahoma" w:cs="Tahoma"/>
      <w:sz w:val="16"/>
      <w:szCs w:val="16"/>
      <w:lang w:val="sr-Latn-CS" w:eastAsia="sr-Latn-CS"/>
    </w:rPr>
  </w:style>
  <w:style w:type="character" w:styleId="Strong">
    <w:name w:val="Strong"/>
    <w:basedOn w:val="DefaultParagraphFont"/>
    <w:uiPriority w:val="22"/>
    <w:qFormat/>
    <w:rsid w:val="0048749c"/>
    <w:rPr>
      <w:b/>
      <w:bCs/>
    </w:rPr>
  </w:style>
  <w:style w:type="character" w:styleId="Annotationreference">
    <w:name w:val="annotation reference"/>
    <w:basedOn w:val="DefaultParagraphFont"/>
    <w:qFormat/>
    <w:rsid w:val="00a07fe4"/>
    <w:rPr>
      <w:sz w:val="16"/>
      <w:szCs w:val="16"/>
    </w:rPr>
  </w:style>
  <w:style w:type="character" w:styleId="CommentTextChar" w:customStyle="1">
    <w:name w:val="Comment Text Char"/>
    <w:basedOn w:val="DefaultParagraphFont"/>
    <w:link w:val="CommentText"/>
    <w:qFormat/>
    <w:rsid w:val="00a07fe4"/>
    <w:rPr>
      <w:lang w:val="sr-Latn-CS" w:eastAsia="sr-Latn-CS"/>
    </w:rPr>
  </w:style>
  <w:style w:type="character" w:styleId="CommentSubjectChar" w:customStyle="1">
    <w:name w:val="Comment Subject Char"/>
    <w:basedOn w:val="CommentTextChar"/>
    <w:link w:val="CommentSubject"/>
    <w:qFormat/>
    <w:rsid w:val="00a07fe4"/>
    <w:rPr>
      <w:b/>
      <w:bCs/>
      <w:lang w:val="sr-Latn-CS" w:eastAsia="sr-Latn-CS"/>
    </w:rPr>
  </w:style>
  <w:style w:type="character" w:styleId="ListLabel1">
    <w:name w:val="ListLabel 1"/>
    <w:qFormat/>
    <w:rPr>
      <w:b w:val="false"/>
      <w:sz w:val="24"/>
      <w:szCs w:val="24"/>
    </w:rPr>
  </w:style>
  <w:style w:type="character" w:styleId="ListLabel2">
    <w:name w:val="ListLabel 2"/>
    <w:qFormat/>
    <w:rPr>
      <w:b w:val="false"/>
      <w:sz w:val="20"/>
      <w:szCs w:val="24"/>
    </w:rPr>
  </w:style>
  <w:style w:type="character" w:styleId="ListLabel3">
    <w:name w:val="ListLabel 3"/>
    <w:qFormat/>
    <w:rPr>
      <w:b w:val="false"/>
      <w:sz w:val="20"/>
      <w:szCs w:val="24"/>
    </w:rPr>
  </w:style>
  <w:style w:type="character" w:styleId="ListLabel4">
    <w:name w:val="ListLabel 4"/>
    <w:qFormat/>
    <w:rPr>
      <w:b w:val="false"/>
      <w:sz w:val="20"/>
      <w:szCs w:val="24"/>
    </w:rPr>
  </w:style>
  <w:style w:type="character" w:styleId="ListLabel5">
    <w:name w:val="ListLabel 5"/>
    <w:qFormat/>
    <w:rPr>
      <w:b w:val="false"/>
      <w:sz w:val="20"/>
      <w:szCs w:val="24"/>
    </w:rPr>
  </w:style>
  <w:style w:type="character" w:styleId="ListLabel6">
    <w:name w:val="ListLabel 6"/>
    <w:qFormat/>
    <w:rPr>
      <w:b w:val="false"/>
      <w:sz w:val="24"/>
      <w:szCs w:val="24"/>
    </w:rPr>
  </w:style>
  <w:style w:type="character" w:styleId="ListLabel7">
    <w:name w:val="ListLabel 7"/>
    <w:qFormat/>
    <w:rPr>
      <w:b w:val="false"/>
      <w:sz w:val="20"/>
      <w:szCs w:val="24"/>
    </w:rPr>
  </w:style>
  <w:style w:type="character" w:styleId="ListLabel8">
    <w:name w:val="ListLabel 8"/>
    <w:qFormat/>
    <w:rPr>
      <w:b w:val="false"/>
      <w:sz w:val="24"/>
      <w:szCs w:val="24"/>
    </w:rPr>
  </w:style>
  <w:style w:type="character" w:styleId="ListLabel9">
    <w:name w:val="ListLabel 9"/>
    <w:qFormat/>
    <w:rPr>
      <w:b w:val="false"/>
      <w:sz w:val="24"/>
      <w:szCs w:val="24"/>
    </w:rPr>
  </w:style>
  <w:style w:type="character" w:styleId="ListLabel10">
    <w:name w:val="ListLabel 10"/>
    <w:qFormat/>
    <w:rPr>
      <w:b w:val="false"/>
      <w:sz w:val="24"/>
      <w:szCs w:val="24"/>
    </w:rPr>
  </w:style>
  <w:style w:type="character" w:styleId="ListLabel11">
    <w:name w:val="ListLabel 11"/>
    <w:qFormat/>
    <w:rPr>
      <w:b w:val="false"/>
      <w:sz w:val="24"/>
      <w:szCs w:val="24"/>
    </w:rPr>
  </w:style>
  <w:style w:type="character" w:styleId="ListLabel12">
    <w:name w:val="ListLabel 12"/>
    <w:qFormat/>
    <w:rPr>
      <w:sz w:val="20"/>
    </w:rPr>
  </w:style>
  <w:style w:type="character" w:styleId="ListLabel13">
    <w:name w:val="ListLabel 13"/>
    <w:qFormat/>
    <w:rPr>
      <w:b w:val="false"/>
      <w:sz w:val="24"/>
      <w:szCs w:val="24"/>
    </w:rPr>
  </w:style>
  <w:style w:type="character" w:styleId="ListLabel14">
    <w:name w:val="ListLabel 14"/>
    <w:qFormat/>
    <w:rPr>
      <w:b w:val="false"/>
      <w:sz w:val="20"/>
      <w:szCs w:val="24"/>
    </w:rPr>
  </w:style>
  <w:style w:type="character" w:styleId="ListLabel15">
    <w:name w:val="ListLabel 15"/>
    <w:qFormat/>
    <w:rPr>
      <w:b w:val="false"/>
      <w:sz w:val="24"/>
      <w:szCs w:val="24"/>
    </w:rPr>
  </w:style>
  <w:style w:type="character" w:styleId="ListLabel16">
    <w:name w:val="ListLabel 16"/>
    <w:qFormat/>
    <w:rPr>
      <w:sz w:val="18"/>
    </w:rPr>
  </w:style>
  <w:style w:type="character" w:styleId="ListLabel17">
    <w:name w:val="ListLabel 17"/>
    <w:qFormat/>
    <w:rPr>
      <w:b w:val="false"/>
      <w:sz w:val="24"/>
      <w:szCs w:val="24"/>
    </w:rPr>
  </w:style>
  <w:style w:type="character" w:styleId="ListLabel18">
    <w:name w:val="ListLabel 18"/>
    <w:qFormat/>
    <w:rPr>
      <w:b w:val="false"/>
      <w:sz w:val="24"/>
      <w:szCs w:val="24"/>
    </w:rPr>
  </w:style>
  <w:style w:type="character" w:styleId="ListLabel19">
    <w:name w:val="ListLabel 19"/>
    <w:qFormat/>
    <w:rPr>
      <w:b w:val="false"/>
      <w:sz w:val="22"/>
      <w:szCs w:val="24"/>
    </w:rPr>
  </w:style>
  <w:style w:type="character" w:styleId="ListLabel20">
    <w:name w:val="ListLabel 20"/>
    <w:qFormat/>
    <w:rPr>
      <w:sz w:val="20"/>
    </w:rPr>
  </w:style>
  <w:style w:type="character" w:styleId="ListLabel21">
    <w:name w:val="ListLabel 21"/>
    <w:qFormat/>
    <w:rPr>
      <w:b w:val="false"/>
      <w:sz w:val="24"/>
      <w:szCs w:val="24"/>
    </w:rPr>
  </w:style>
  <w:style w:type="character" w:styleId="ListLabel22">
    <w:name w:val="ListLabel 22"/>
    <w:qFormat/>
    <w:rPr>
      <w:sz w:val="18"/>
    </w:rPr>
  </w:style>
  <w:style w:type="character" w:styleId="ListLabel23">
    <w:name w:val="ListLabel 23"/>
    <w:qFormat/>
    <w:rPr>
      <w:sz w:val="16"/>
    </w:rPr>
  </w:style>
  <w:style w:type="character" w:styleId="ListLabel24">
    <w:name w:val="ListLabel 24"/>
    <w:qFormat/>
    <w:rPr>
      <w:b w:val="false"/>
      <w:sz w:val="24"/>
      <w:szCs w:val="24"/>
    </w:rPr>
  </w:style>
  <w:style w:type="character" w:styleId="ListLabel25">
    <w:name w:val="ListLabel 25"/>
    <w:qFormat/>
    <w:rPr>
      <w:b w:val="false"/>
      <w:sz w:val="24"/>
      <w:szCs w:val="24"/>
    </w:rPr>
  </w:style>
  <w:style w:type="character" w:styleId="ListLabel26">
    <w:name w:val="ListLabel 26"/>
    <w:qFormat/>
    <w:rPr>
      <w:b w:val="false"/>
      <w:sz w:val="24"/>
      <w:szCs w:val="24"/>
    </w:rPr>
  </w:style>
  <w:style w:type="character" w:styleId="ListLabel27">
    <w:name w:val="ListLabel 27"/>
    <w:qFormat/>
    <w:rPr>
      <w:b w:val="false"/>
      <w:sz w:val="24"/>
      <w:szCs w:val="24"/>
    </w:rPr>
  </w:style>
  <w:style w:type="character" w:styleId="ListLabel28">
    <w:name w:val="ListLabel 28"/>
    <w:qFormat/>
    <w:rPr>
      <w:b w:val="false"/>
      <w:sz w:val="18"/>
      <w:szCs w:val="24"/>
    </w:rPr>
  </w:style>
  <w:style w:type="character" w:styleId="ListLabel29">
    <w:name w:val="ListLabel 29"/>
    <w:qFormat/>
    <w:rPr>
      <w:b w:val="false"/>
      <w:sz w:val="24"/>
      <w:szCs w:val="24"/>
    </w:rPr>
  </w:style>
  <w:style w:type="character" w:styleId="ListLabel30">
    <w:name w:val="ListLabel 30"/>
    <w:qFormat/>
    <w:rPr>
      <w:b w:val="false"/>
      <w:sz w:val="20"/>
      <w:szCs w:val="24"/>
    </w:rPr>
  </w:style>
  <w:style w:type="character" w:styleId="ListLabel31">
    <w:name w:val="ListLabel 31"/>
    <w:qFormat/>
    <w:rPr>
      <w:b w:val="false"/>
      <w:sz w:val="24"/>
      <w:szCs w:val="24"/>
    </w:rPr>
  </w:style>
  <w:style w:type="character" w:styleId="ListLabel32">
    <w:name w:val="ListLabel 32"/>
    <w:qFormat/>
    <w:rPr>
      <w:sz w:val="20"/>
      <w:szCs w:val="20"/>
    </w:rPr>
  </w:style>
  <w:style w:type="character" w:styleId="ListLabel33">
    <w:name w:val="ListLabel 33"/>
    <w:qFormat/>
    <w:rPr>
      <w:sz w:val="20"/>
    </w:rPr>
  </w:style>
  <w:style w:type="character" w:styleId="ListLabel34">
    <w:name w:val="ListLabel 34"/>
    <w:qFormat/>
    <w:rPr>
      <w:b w:val="false"/>
      <w:sz w:val="20"/>
      <w:szCs w:val="24"/>
    </w:rPr>
  </w:style>
  <w:style w:type="character" w:styleId="ListLabel35">
    <w:name w:val="ListLabel 35"/>
    <w:qFormat/>
    <w:rPr>
      <w:b w:val="false"/>
      <w:sz w:val="24"/>
      <w:szCs w:val="24"/>
    </w:rPr>
  </w:style>
  <w:style w:type="character" w:styleId="ListLabel36">
    <w:name w:val="ListLabel 36"/>
    <w:qFormat/>
    <w:rPr>
      <w:b w:val="false"/>
      <w:sz w:val="24"/>
      <w:szCs w:val="24"/>
    </w:rPr>
  </w:style>
  <w:style w:type="character" w:styleId="WW8Num2z0">
    <w:name w:val="WW8Num2z0"/>
    <w:qFormat/>
    <w:rPr/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Bitstream Vera Sans" w:cs="Free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  <w:style w:type="paragraph" w:styleId="Default" w:customStyle="1">
    <w:name w:val="Default"/>
    <w:qFormat/>
    <w:rsid w:val="00cf794d"/>
    <w:pPr>
      <w:widowControl w:val="false"/>
      <w:bidi w:val="0"/>
      <w:jc w:val="left"/>
    </w:pPr>
    <w:rPr>
      <w:rFonts w:ascii="Arial" w:hAnsi="Arial" w:cs="Arial" w:eastAsia="Times New Roman"/>
      <w:color w:val="000000"/>
      <w:kern w:val="0"/>
      <w:sz w:val="24"/>
      <w:szCs w:val="24"/>
      <w:lang w:val="en-US" w:eastAsia="en-US" w:bidi="ar-SA"/>
    </w:rPr>
  </w:style>
  <w:style w:type="paragraph" w:styleId="HTMLPreformatted">
    <w:name w:val="HTML Preformatted"/>
    <w:basedOn w:val="Normal"/>
    <w:link w:val="HTMLPreformattedChar"/>
    <w:qFormat/>
    <w:rsid w:val="003311c0"/>
    <w:pPr>
      <w:widowControl/>
      <w:tabs>
        <w:tab w:val="clear" w:pos="720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/>
    </w:rPr>
  </w:style>
  <w:style w:type="paragraph" w:styleId="NormalWeb">
    <w:name w:val="Normal (Web)"/>
    <w:basedOn w:val="Normal"/>
    <w:uiPriority w:val="99"/>
    <w:unhideWhenUsed/>
    <w:qFormat/>
    <w:rsid w:val="00d052b3"/>
    <w:pPr>
      <w:widowControl/>
      <w:spacing w:before="0" w:after="75"/>
      <w:jc w:val="both"/>
    </w:pPr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rsid w:val="00d11630"/>
    <w:pPr>
      <w:widowControl/>
      <w:tabs>
        <w:tab w:val="clear" w:pos="720"/>
        <w:tab w:val="center" w:pos="4320" w:leader="none"/>
        <w:tab w:val="right" w:pos="8640" w:leader="none"/>
      </w:tabs>
    </w:pPr>
    <w:rPr>
      <w:rFonts w:ascii="Times" w:hAnsi="Times"/>
      <w:lang w:val="hr-HR" w:eastAsia="en-US"/>
    </w:rPr>
  </w:style>
  <w:style w:type="paragraph" w:styleId="BalloonText">
    <w:name w:val="Balloon Text"/>
    <w:basedOn w:val="Normal"/>
    <w:link w:val="BalloonTextChar"/>
    <w:qFormat/>
    <w:rsid w:val="00df7c5a"/>
    <w:pPr/>
    <w:rPr>
      <w:rFonts w:ascii="Tahoma" w:hAnsi="Tahoma" w:cs="Tahoma"/>
      <w:sz w:val="16"/>
      <w:szCs w:val="16"/>
    </w:rPr>
  </w:style>
  <w:style w:type="paragraph" w:styleId="Char" w:customStyle="1">
    <w:name w:val="Char"/>
    <w:basedOn w:val="Normal"/>
    <w:qFormat/>
    <w:rsid w:val="00a858b7"/>
    <w:pPr>
      <w:widowControl/>
      <w:tabs>
        <w:tab w:val="clear" w:pos="720"/>
        <w:tab w:val="center" w:pos="3682" w:leader="none"/>
        <w:tab w:val="right" w:pos="7380" w:leader="none"/>
      </w:tabs>
      <w:spacing w:lineRule="exact" w:line="240" w:before="0" w:after="160"/>
    </w:pPr>
    <w:rPr>
      <w:rFonts w:ascii="Verdana" w:hAnsi="Verdana" w:cs="Arial"/>
      <w:color w:val="000080"/>
      <w:sz w:val="18"/>
      <w:szCs w:val="18"/>
      <w:lang w:eastAsia="en-US"/>
    </w:rPr>
  </w:style>
  <w:style w:type="paragraph" w:styleId="CharCharChar" w:customStyle="1">
    <w:name w:val="Char Char Char"/>
    <w:basedOn w:val="Normal"/>
    <w:qFormat/>
    <w:rsid w:val="0035127d"/>
    <w:pPr>
      <w:widowControl/>
      <w:spacing w:lineRule="exact" w:line="240" w:before="0" w:after="160"/>
    </w:pPr>
    <w:rPr>
      <w:rFonts w:ascii="Arial" w:hAnsi="Arial" w:cs="Arial"/>
      <w:lang w:val="fr-CH"/>
    </w:rPr>
  </w:style>
  <w:style w:type="paragraph" w:styleId="DocumentMap">
    <w:name w:val="Document Map"/>
    <w:basedOn w:val="Normal"/>
    <w:link w:val="DocumentMapChar"/>
    <w:qFormat/>
    <w:rsid w:val="00b131f4"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CommentTextChar"/>
    <w:qFormat/>
    <w:rsid w:val="00a07fe4"/>
    <w:pPr/>
    <w:rPr/>
  </w:style>
  <w:style w:type="paragraph" w:styleId="Annotationsubject">
    <w:name w:val="annotation subject"/>
    <w:basedOn w:val="Annotationtext"/>
    <w:next w:val="Annotationtext"/>
    <w:link w:val="CommentSubjectChar"/>
    <w:qFormat/>
    <w:rsid w:val="00a07fe4"/>
    <w:pPr/>
    <w:rPr>
      <w:b/>
      <w:bCs/>
    </w:rPr>
  </w:style>
  <w:style w:type="paragraph" w:styleId="ListParagraph">
    <w:name w:val="List Paragraph"/>
    <w:basedOn w:val="Normal"/>
    <w:uiPriority w:val="34"/>
    <w:qFormat/>
    <w:rsid w:val="00c2058d"/>
    <w:pPr>
      <w:spacing w:before="0" w:after="0"/>
      <w:ind w:left="720" w:hanging="0"/>
      <w:contextualSpacing/>
    </w:pPr>
    <w:rPr/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numbering" w:styleId="WW8Num2">
    <w:name w:val="WW8Num2"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rsid w:val="00367e7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Application>LibreOffice/6.1.4.2$Linux_X86_64 LibreOffice_project/10$Build-2</Application>
  <Pages>2</Pages>
  <Words>514</Words>
  <Characters>3375</Characters>
  <CharactersWithSpaces>3795</CharactersWithSpaces>
  <Paragraphs>100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2014-03-26T18:33:00Z</dcterms:created>
  <dc:creator>Vera Dondur</dc:creator>
  <dc:description/>
  <dc:language>en-US</dc:language>
  <cp:lastModifiedBy/>
  <cp:lastPrinted>2012-02-13T18:34:00Z</cp:lastPrinted>
  <dcterms:modified xsi:type="dcterms:W3CDTF">2019-02-02T15:55:20Z</dcterms:modified>
  <cp:revision>11</cp:revision>
  <dc:subject/>
  <dc:title>Табела 9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